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spacing w:lineRule="auto" w:line="240" w:before="170" w:after="159"/>
        <w:rPr>
          <w:rFonts w:ascii="Times New Roman" w:hAnsi="Times New Roman" w:eastAsia="Times New Roman" w:cs="Times New Roman"/>
          <w:color w:val="000000" w:themeColor="text1" w:themeShade="ff" w:themeTint="ff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6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4b942"/>
                        </a:solidFill>
                        <a:ln w="0">
                          <a:solidFill>
                            <a:srgbClr val="f4b94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eastAsia="Calibri" w:cs="" w:ascii="Times New Roman" w:hAnsi="Times New Roman" w:cstheme="minorBidi" w:eastAsiaTheme="minorHAnsi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FICHE DE POSTE: Ebarbeur en métallurgie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2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4B942"/>
          <w:sz w:val="28"/>
          <w:szCs w:val="28"/>
        </w:rPr>
        <w:t>Lieux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atelier de parachèvement en fonderie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atelier de parachèvement en forge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Organisation du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coactivité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au sein d'une équipe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de nuit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le week-end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posté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posté 2x8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chronométrage des tâches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cadence imposée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fluctuation hebdomadaire de la charge de travail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Tâches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manutentionner une charge avec aide à la manutention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déplacement vertical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manoeuvrer le pont roulant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contrôler la pièce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ébarber ou ébavurer une pièce métallique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ébarber automatiquement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contrôler les outils et les matériels de parachèvement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entretenir le matériel et les outils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Outils et équipements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meuleuse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disque abrasif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disque à lamelles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disque à tronçonner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disque à meuler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disque à ébarber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burineur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petit matériel d'ébarbage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polisseuse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potences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pinceau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6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Produits, matériaux et publics concernés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alliages de métaux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7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Tenue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chaussures de sécurité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gants adaptés à l'activité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protections auditives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casque intégral et ventilé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lunettes de protection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veste et pantalon de travail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>Fiche de poste du 20/05/2024 issue de la FMP Ebarbeur en métallurgie, consultable sur le site :</w:t>
      </w:r>
      <w:r>
        <w:rPr>
          <w:rFonts w:ascii="Times New Roman" w:hAnsi="Times New Roman"/>
          <w:color w:val="F4B942"/>
          <w:sz w:val="20"/>
          <w:szCs w:val="20"/>
        </w:rPr>
        <w:br/>
      </w: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 xml:space="preserve"> </w:t>
      </w:r>
      <w:r>
        <w:rPr>
          <w:rFonts w:ascii="Times New Roman" w:hAnsi="Times New Roman"/>
          <w:color w:val="F4B942"/>
          <w:sz w:val="20"/>
          <w:szCs w:val="20"/>
        </w:rPr>
        <w:br/>
      </w:r>
      <w:hyperlink r:id="rId8">
        <w:r>
          <w:rPr>
            <w:rStyle w:val="LienInternet"/>
            <w:rFonts w:eastAsia="Times New Roman" w:cs="Times New Roman" w:ascii="Times New Roman" w:hAnsi="Times New Roman"/>
            <w:i/>
            <w:iCs/>
            <w:color w:val="F4B942"/>
            <w:sz w:val="20"/>
            <w:szCs w:val="20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</w:pPr>
      <w:r/>
    </w:p>
    <w:sectPr>
      <w:headerReference w:type="default" r:id="rId9"/>
      <w:footerReference w:type="default" r:id="rId10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NUMPAGES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LibreOffice/7.3.7.2$Linux_X86_64 LibreOffice_project/30$Build-2</Application>
  <AppVersion>15.0000</AppVersion>
  <Pages>2</Pages>
  <Words>113</Words>
  <Characters>1189</Characters>
  <CharactersWithSpaces>1325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2023-04-25T14:24:32Z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