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Pâtissier (sauf pâtissier industriel)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lieu de vente : boutique, magasin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lieu de vente : centre commercial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laboratoire artisanal: pâtisserie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géré seul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modes opératoires précis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dimanche et jours fériés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très tôt le matin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à respecter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d'encadrement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quotidienne de la charge de 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gérer les achats, les commandes et les stocks en pâtisserie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sélectionner les produits de la recette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manipuler et travailler les denrées alimentaires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peser les ingrédients en pâtisserie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fabriquer les pâtes à biscuit et fonds de tarte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cuire les garnitures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cuire les biscuits et fonds de tarte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préparer les garnitures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réaliser montages et décorations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nettoyer et ranger le matériel en pâtisserie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nettoyer les sols et les surfaces en agroalimentaire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27/04/2024 issue de la FMP Pâtissier (sauf pâtissier industriel),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