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galerie marchande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physique, odeurs, bruit environnant de faible intensité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atelier industriel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polyvalence fréquente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de livraison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saisonnière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trier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 avec piétinement, posture debout avec marche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prendre et dépose un vêtement dans un bac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pré-brosser et détacher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supérieur, produits détachants textile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charger et décharger la machine par le hublot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 linge d'un poste à l'autre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repasser le linge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emballer et mettre sous housse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le linge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 les livraisons en pressing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déplacer les bidons  vers le lieu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remettre le linge au client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destockage difficile du linge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les machines de perchloroethylene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racler les boues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 au perchloréthylène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remplir d'adoucissant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sec non conforme, exposition au perchloréthylène (cf produit)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de nettoyage à l'eau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hotte défectueuse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emballer sous housse plastique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 trop haute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fer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 brulant, matériel électrique défectueux, 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repose fer trop éloigné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système de suspension du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tables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tuyau d'alimentation en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chaude intérieure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jeannette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dispositif de commande d'aspiration/soufflage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générateur de vapeur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adoucisseur d'eau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 à air comprimé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presse à repasser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mannequin de repassage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à sec en pressing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tetrachlorethylene en pressing, siloxane, solvant petrolier, ether de glycol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aquanettoyage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détachage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ether de glycol, solvant organique, acide acetique, acide citrique, incendie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anti-rouille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articles textiles trés souillés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réimperméabilisation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prébrossage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 exigeante (pressing)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civile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24/03/2026 issue de la FMP Employé de pressing,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