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Tapissier garnisseur de mobilier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artisanal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lieux d'intervention du tapissier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alternance travail géré seul ou en équipes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établir le devis estimatif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financieres entrainant une charge mentale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acheter et  passer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positionner la pièce à restaurer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dégarnir l'élément à refaire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outil, poussiere d'origine animale, poussiere d'origine vegetale, contrainte visuelle, autre travail avec force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remettre en état la carcasse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(cf produits), solvants (cf produits), vernis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sangler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posture debout, autre travail avec force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couper le tissu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la mise en place de la garniture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mise en crin proprement dite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emballer le crin avec la toile d'embourrure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visuelle, piqure d'aiguille, contact main outil, nuisances du tapissier garnisseur, posture du cou en flexion, posture du corps entier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compléter avec le crin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la toile blanche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mise en ouate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la couverture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avec rendu des couleurs insuffisant, posture du corps entier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  Jaconas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exécuter les finitions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déposer le mobilier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pour travailler le bois (tapissier)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pour travailler les tissus (tapissier)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piquant,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pour clouer et déclouer (tapissier)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pour le garnissage (tapissier)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chevalets et tréteaux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tabouret de tapissier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crin végétal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crin animal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laine animale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plume et duvet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ouate  et mousse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toiles d'ameublement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cordes, ficelles et fils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colophane, solvant organique, peinture, vernis, laque, mastic sans precision en phase aqueuse, peinture, vernis, laque, mastic sans precision en phase solvant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décapants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chlorhydrique, acide fluorhydrique, dichloromethane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néoprène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29/05/2026 issue de la FMP Tapissier garnisseur de mobilier,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