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funéraire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mortuaire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ambiance thermique inconfortable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domicile du défunt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géré seul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psychologique, manquer de moyens ou de temps pour faire un travail de qualite, surcharge de travail ressentie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 opératoire imposé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respect des procédures de sécurité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déplacements de durée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 contrôle administratif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s'équiper en EPI (thanatopracteur)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 corps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nuisances du thanatopracteur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soins de conservation du corps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AES, produits chimiques (cf produits), situation entraînant une charge émotionnelle,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AES, 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soins esthétiques du défunt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produits), situation entraînant une charge émotionnelle,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ranger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AES, produits chimiques (cf produits),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Léger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valises du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à usage unique chez le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à usage multiple chez le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véhicule léger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de javel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médicaux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virus, AES, microorganismes en milieu de sante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cire épilatoire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fluide de conservation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methanol, formaldehyde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colles en thanatopraxie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désinfection en milieu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antiseptique, bactericide pour la peau (sauf SHA solutions hydro-alcooliques), desinfectant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directeur d'établissement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familles endeuillées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 entraînant une charge émotionnelle, confrontation avec la souffrance et/ou la mort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à usage unique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surchaussures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10/09/2026 issue de la FMP Thanatopracteur,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