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hôpital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clinique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santé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infectieux (cf produits), mercure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SAMU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stérile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pénitentiaire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situation entrainant une charge psychologique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scolaire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agression physique, espace de travail inadapté à l'activité, non reconnaissance de l'activité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dimanche et jours fériés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soins locaux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l'infirmier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prélévements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sante, AES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perfusions, des sondes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sang (cf produits), urines (cf produits), déchets médicaux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administrer des traitements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à la réalisation d'actes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l'installation du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les consignes du personnel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soins d'urgence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des chimiothérapies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soins de nursing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microorganismes en milieu de sante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effort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toilettes mortuaires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fluide humain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désinfecter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gèrer le dossier infirmier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activités de consultations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à domicile (infirmier)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 mentale du conducteur, 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éduquer le patient et sa famille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accompagner les stagiaires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encadrer les étudiants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réunions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intervenir en entreprise extérieure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seringues, aiguilles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perfusion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sondes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d'aide à la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brancard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medicaments et drogues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antiviraux, aminoglucoside, betalactamine, cephalosporine, chlorpromazine, chlorure d'acide de la phenylglycine, cimetidine, hydralazine, isoniazide, macrolide, neomycine, troleandomycine oleandomycine  A, penicilline, phenothiazine et derive, piperazine, quinine, salbutamol, spiramycine A, cytostatique, antibiotique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médicaux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virus, AES, 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urines, selles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radioisotopes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 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agité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, agression physique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personnes malades, leurs familles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psychoaffective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élèves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d'encadrement, 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malades contagieux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21/05/2026 issue de la FMP Infirmier,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