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Prothésiste dentaire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établissement de soins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laboratoire 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finition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préparation des moules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 sein d'un cabinet 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AGENTS BIOLOGIQUES PATHOGENES  DES GROUPES 3 ET 4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fabriquer le moule en plâtre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sel de calcium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meuler le moule en plâtre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sel de calcium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sculpter une maquette en cire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la couverture réfractaire de la  maquette en cire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éliminer la cire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fumee diverse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fabriquer la prothèse métallique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fondre l' alliage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fumee diverse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couler l'alliage dans le moule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 incandescent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refroidir la pièce métallique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démouler la pièce métallique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ébarber la pièce métallique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abraser  la surface de la prothèse métallique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gratter la surface de la prothèse métallique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meuler la surface de la prothèse métallique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polir la surface de la prothèse métallique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metaux durs carbures metalliques, silice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fabriquer la prothèse en céramique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fabriquer la prothèse en résine synthétique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utiliser une fronde centrifuge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tronçonner la pièce métallique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chalumeaux (prothésiste)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flamme, infra rouge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bec bunsen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cheville de captage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générateur de vapeur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 d'eau chaude sous pression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fronde centrifuge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meules électriques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lampes individuelles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loupes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d'acétylène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acetylene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bouteilles de propane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fraises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d'alerte, bruit impulsionnel, dechet de poussiere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plâtre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sel de calcium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ester, colophane, acides aliphatiques insatures, acides aliphatiques satures, alcool et polyalcool et derive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fumées de chauffage de la cire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fumee diverse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prothèses fixes et mobiles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nickel, chrome, beryllium (SIR), molybdene, aluminium, fer, tungstene, manganese, or, platine, palladium, cobalt, methacrylate, cadmium (SIR), silice cristalline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revêtement des prothèses dentaires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oxyde de magnesium, phosphate d'ammonium, silice cristalline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abrasif de sablage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corindon, oxyde de zirconium, microbilles de verre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abrasifs de polissage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corindon, oxyde de zirconium, silice cristalline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joint de dilatation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empreintes souillées par le sang et la salive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virus de l'hepatite c hcv vhc, virus de l'hepatite b hbv vhb, virus de l'hepatite a hav, herpesviride, vih hiv (virus de l'immunodeficience humaine virus du sida), bacterie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bain d'acide fluorhydrique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fluorhydrique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methacrylate, fumee de polymerisation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polissage des prothèses fixes et amovibles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poussieres de polissage des prothèses fixes et amovibles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inorganique, autre poussiere metallique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15/03/2026 issue de la FMP Prothésiste dentaire,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