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Convoyeur de fonds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garage (convoyeur de fonds)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point de desserte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le matin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respect des procédures de sécurité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équipage (convoyeur de fonds)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mettre en uniforme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s'armer ( catégorie A)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s'armer ( catégories B et C)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s'équiper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les fonds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fonds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TACHES DU CHAUFFEUR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fourgon blindé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mécanique corps entier, charge mentale du conducteur, activite demandant une vigilance, une concentration, une attention soutenue,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véhicule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l'ouverture des portes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la responsabilité du fusil à pompe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TACHES DU MESSAGER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définir l'itinéraire du véhicule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aleas a gerer  generant une charge mentale particuliere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la communication avec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 prestataire generant une charge mentale particuliere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livrer les fonds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particuliere, activite demandant une vigilance, une concentration, une attention soutenue, 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TACHES DU GARDE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protéger les fonds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activite demandant une vigilance, une concentration, une attention soutenue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tirer avec une arme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armes (chez le convoyeur de fonds)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feuille de route (chez le convoyeur de fonds)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sacs (chez le convoyeur de fonds)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valises (chez le convoyeur de fonds)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fourgon blindé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talkie-walkie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encre de maculage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solvant, diluant, pigment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du convoyeur de fonds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17/04/2026 issue de la FMP Convoyeur de fonds,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