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xml:space="preserve">
  <w:body>
    <w:p>
      <w:pPr>
        <w:pStyle w:val="Normal"/>
        <w:jc w:val="center"/>
        <w:rPr>
          <w:rFonts w:ascii="Times New Roman" w:hAnsi="Times New Roman"/>
        </w:rPr>
      </w:pPr>
      <w:r>
        <mc:AlternateContent>
          <mc:Choice Requires="wps">
            <w:drawing>
              <wp:anchor behindDoc="0" distT="635" distB="635" distL="1270" distR="635" simplePos="0" locked="0" layoutInCell="0" allowOverlap="1" relativeHeight="12">
                <wp:simplePos x="0" y="0"/>
                <wp:positionH relativeFrom="column">
                  <wp:align>center</wp:align>
                </wp:positionH>
                <wp:positionV relativeFrom="paragraph">
                  <wp:posOffset>635</wp:posOffset>
                </wp:positionV>
                <wp:extent cx="5746115" cy="504190"/>
                <wp:effectExtent l="1270" t="635" r="635" b="1270"/>
                <wp:wrapThrough wrapText="bothSides">
                  <wp:wrapPolygon edited="0">
                    <wp:start x="312" y="0"/>
                    <wp:lineTo x="314" y="0"/>
                    <wp:lineTo x="258" y="0"/>
                    <wp:lineTo x="204" y="167"/>
                    <wp:lineTo x="156" y="483"/>
                    <wp:lineTo x="108" y="799"/>
                    <wp:lineTo x="69" y="1254"/>
                    <wp:lineTo x="41" y="1802"/>
                    <wp:lineTo x="13" y="2350"/>
                    <wp:lineTo x="-1" y="2972"/>
                    <wp:lineTo x="-1" y="3605"/>
                    <wp:lineTo x="-1" y="18018"/>
                    <wp:lineTo x="-1" y="18023"/>
                    <wp:lineTo x="-1" y="18656"/>
                    <wp:lineTo x="13" y="19277"/>
                    <wp:lineTo x="41" y="19825"/>
                    <wp:lineTo x="69" y="20373"/>
                    <wp:lineTo x="108" y="20828"/>
                    <wp:lineTo x="156" y="21144"/>
                    <wp:lineTo x="204" y="21461"/>
                    <wp:lineTo x="258" y="21627"/>
                    <wp:lineTo x="314" y="21627"/>
                    <wp:lineTo x="21286" y="21627"/>
                    <wp:lineTo x="21286" y="21627"/>
                    <wp:lineTo x="21342" y="21627"/>
                    <wp:lineTo x="21396" y="21461"/>
                    <wp:lineTo x="21444" y="21144"/>
                    <wp:lineTo x="21492" y="20828"/>
                    <wp:lineTo x="21531" y="20373"/>
                    <wp:lineTo x="21559" y="19825"/>
                    <wp:lineTo x="21587" y="19277"/>
                    <wp:lineTo x="21601" y="18656"/>
                    <wp:lineTo x="21601" y="18023"/>
                    <wp:lineTo x="21601" y="3582"/>
                    <wp:lineTo x="21601" y="3605"/>
                    <wp:lineTo x="21601" y="3605"/>
                    <wp:lineTo x="21601" y="2972"/>
                    <wp:lineTo x="21587" y="2350"/>
                    <wp:lineTo x="21559" y="1802"/>
                    <wp:lineTo x="21531" y="1254"/>
                    <wp:lineTo x="21492" y="799"/>
                    <wp:lineTo x="21444" y="483"/>
                    <wp:lineTo x="21396" y="167"/>
                    <wp:lineTo x="21342" y="0"/>
                    <wp:lineTo x="21286" y="0"/>
                    <wp:lineTo x="312" y="0"/>
                  </wp:wrapPolygon>
                </wp:wrapThrough>
                <wp:docPr id="11" name="Shape 1"/>
                <a:graphic xmlns:a="http://schemas.openxmlformats.org/drawingml/2006/main">
                  <a:graphicData uri="http://schemas.microsoft.com/office/word/2010/wordprocessingShape">
                    <wps:wsp>
                      <wps:cNvSpPr/>
                      <wps:spPr>
                        <a:xfrm>
                          <a:off x="0" y="0"/>
                          <a:ext cx="5745960" cy="504360"/>
                        </a:xfrm>
                        <a:prstGeom prst="roundRect">
                          <a:avLst>
                            <a:gd name="adj" fmla="val 16667"/>
                          </a:avLst>
                        </a:prstGeom>
                        <a:solidFill>
                          <a:srgbClr val="49ab62"/>
                        </a:solidFill>
                        <a:ln w="0">
                          <a:solidFill>
                            <a:srgbClr val="49ab62"/>
                          </a:solidFill>
                        </a:ln>
                      </wps:spPr>
                      <wps:style>
                        <a:lnRef idx="0"/>
                        <a:fillRef idx="0"/>
                        <a:effectRef idx="0"/>
                        <a:fontRef idx="minor"/>
                      </wps:style>
                      <wps:txbx>
                        <w:txbxContent>
                          <w:p>
                            <w:pPr>
                              <w:pStyle w:val="Titre1"/>
                              <w:overflowPunct w:val="true"/>
                              <w:spacing w:lineRule="auto" w:line="240" w:before="49" w:after="49"/>
                              <w:ind w:left="0" w:right="0" w:hanging="0"/>
                              <w:jc w:val="center"/>
                              <w:rPr>
                                <w:color w:val="FFFFFF"/>
                              </w:rPr>
                            </w:pPr>
                            <w:r>
                              <w:rPr>
                                <w:rFonts w:eastAsia="Calibri" w:cs=""/>
                                <w:b/>
                                <w:bCs/>
                                <w:caps/>
                                <w:color w:val="FFFFFF"/>
                                <w:sz w:val="32"/>
                                <w:szCs w:val="32"/>
                              </w:rPr>
                              <w:t>ENTRETIEN professionnel : Agent de centrale d'enrobés</w:t>
                            </w:r>
                          </w:p>
                        </w:txbxContent>
                      </wps:txbx>
                      <wps:bodyPr lIns="0" rIns="0" tIns="0" bIns="0" anchor="ctr">
                        <a:noAutofit/>
                      </wps:bodyPr>
                    </wps:wsp>
                  </a:graphicData>
                </a:graphic>
              </wp:anchor>
            </w:drawing>
          </mc:Choice>
          <mc:Fallback>
            <w:pict/>
          </mc:Fallback>
        </mc:AlternateContent>
      </w:r>
    </w:p>
    <w:p>
      <w:pPr>
        <w:pStyle w:val="Normal"/>
        <w:rPr>
          <w:color w:val="00B0F0"/>
        </w:rPr>
      </w:pPr>
      <w:r>
        <w:rPr>
          <w:color w:val="00B0F0"/>
        </w:rPr>
      </w:r>
    </w:p>
    <w:p>
      <w:pPr>
        <w:pStyle w:val="Normal"/>
        <w:rPr>
          <w:color w:val="00B0F0"/>
        </w:rPr>
      </w:pPr>
      <w:r>
        <w:rPr>
          <w:color w:val="00B0F0"/>
        </w:rPr>
      </w:r>
    </w:p>
    <w:p>
      <w:pPr>
        <w:pStyle w:val="Normal"/>
        <w:rPr>
          <w:color w:val="00B0F0"/>
        </w:rPr>
      </w:pPr>
      <w:r>
        <w:rPr>
          <w:color w:val="00B0F0"/>
        </w:rPr>
      </w:r>
    </w:p>
    <w:tbl>
      <w:tblPr>
        <w:tblW w:w="500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4535"/>
        <w:gridCol w:w="4536"/>
      </w:tblGrid>
      <w:tr>
        <w:trPr/>
        <w:tc>
          <w:tcPr>
            <w:tcW w:w="4535" w:type="dxa"/>
            <w:tcBorders>
              <w:top w:val="outset" w:sz="6" w:space="0" w:color="0000CC"/>
              <w:left w:val="outset" w:sz="6" w:space="0" w:color="0000CC"/>
              <w:bottom w:val="outset" w:sz="6" w:space="0" w:color="0000CC"/>
              <w:right w:val="outset" w:sz="6" w:space="0" w:color="0000CC"/>
            </w:tcBorders>
            <w:vAlign w:val="center"/>
          </w:tcPr>
          <w:tbl>
            <w:tblPr>
              <w:tblW w:w="5000" w:type="pct"/>
              <w:jc w:val="left"/>
              <w:tblInd w:w="75" w:type="dxa"/>
              <w:tblLayout w:type="fixed"/>
              <w:tblCellMar>
                <w:top w:w="15" w:type="dxa"/>
                <w:left w:w="15" w:type="dxa"/>
                <w:bottom w:w="15" w:type="dxa"/>
                <w:right w:w="15" w:type="dxa"/>
              </w:tblCellMar>
              <w:tblLook w:val="04a0" w:noHBand="0" w:noVBand="1" w:firstColumn="1" w:lastRow="0" w:lastColumn="0" w:firstRow="1"/>
            </w:tblPr>
            <w:tblGrid>
              <w:gridCol w:w="2245"/>
              <w:gridCol w:w="2245"/>
            </w:tblGrid>
            <w:tr>
              <w:trPr/>
              <w:tc>
                <w:tcPr>
                  <w:tcW w:w="2245" w:type="dxa"/>
                  <w:tcBorders/>
                  <w:vAlign w:val="center"/>
                </w:tcPr>
                <w:p>
                  <w:pPr>
                    <w:pStyle w:val="Normal"/>
                    <w:widowControl w:val="false"/>
                    <w:rPr>
                      <w:rFonts w:ascii="Times New Roman" w:hAnsi="Times New Roman"/>
                    </w:rPr>
                  </w:pPr>
                  <w:r>
                    <w:rPr>
                      <w:sz w:val="20"/>
                      <w:szCs w:val="20"/>
                    </w:rPr>
                    <w:t>NOM Prénom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POSTE OCCUPE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DATE D'EMBAUCHE :</w:t>
                  </w:r>
                </w:p>
              </w:tc>
              <w:tc>
                <w:tcPr>
                  <w:tcW w:w="2245" w:type="dxa"/>
                  <w:tcBorders/>
                  <w:vAlign w:val="center"/>
                </w:tcPr>
                <w:p>
                  <w:pPr>
                    <w:pStyle w:val="Normal"/>
                    <w:widowControl w:val="false"/>
                    <w:rPr>
                      <w:rFonts w:ascii="Times New Roman" w:hAnsi="Times New Roman"/>
                    </w:rPr>
                  </w:pPr>
                  <w:r>
                    <w:rPr>
                      <w:sz w:val="20"/>
                      <w:szCs w:val="20"/>
                    </w:rPr>
                    <w:t>___/___/____</w:t>
                  </w:r>
                </w:p>
              </w:tc>
            </w:tr>
            <w:tr>
              <w:trPr/>
              <w:tc>
                <w:tcPr>
                  <w:tcW w:w="2245" w:type="dxa"/>
                  <w:tcBorders/>
                  <w:vAlign w:val="center"/>
                </w:tcPr>
                <w:p>
                  <w:pPr>
                    <w:pStyle w:val="Normal"/>
                    <w:widowControl w:val="false"/>
                    <w:rPr>
                      <w:rFonts w:ascii="Times New Roman" w:hAnsi="Times New Roman"/>
                    </w:rPr>
                  </w:pPr>
                  <w:r>
                    <w:rPr>
                      <w:sz w:val="20"/>
                      <w:szCs w:val="20"/>
                    </w:rPr>
                    <w:t>ENTREPRISE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TYPE DE CONTRAT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TEMPS DE TRAVAIL/SEMAINE :</w:t>
                  </w:r>
                </w:p>
              </w:tc>
              <w:tc>
                <w:tcPr>
                  <w:tcW w:w="2245" w:type="dxa"/>
                  <w:tcBorders/>
                  <w:vAlign w:val="center"/>
                </w:tcPr>
                <w:p>
                  <w:pPr>
                    <w:pStyle w:val="Normal"/>
                    <w:widowControl w:val="false"/>
                    <w:rPr>
                      <w:rFonts w:ascii="Times New Roman" w:hAnsi="Times New Roman"/>
                      <w:sz w:val="20"/>
                      <w:szCs w:val="20"/>
                    </w:rPr>
                  </w:pPr>
                  <w:r>
                    <w:rPr>
                      <w:sz w:val="20"/>
                      <w:szCs w:val="20"/>
                    </w:rPr>
                  </w:r>
                </w:p>
              </w:tc>
            </w:tr>
          </w:tbl>
          <w:p>
            <w:pPr>
              <w:pStyle w:val="Normal"/>
              <w:widowControl w:val="false"/>
              <w:rPr>
                <w:rFonts w:ascii="Times New Roman" w:hAnsi="Times New Roman"/>
                <w:sz w:val="20"/>
                <w:szCs w:val="20"/>
              </w:rPr>
            </w:pPr>
            <w:r>
              <w:rPr>
                <w:sz w:val="20"/>
                <w:szCs w:val="20"/>
              </w:rPr>
            </w:r>
          </w:p>
        </w:tc>
        <w:tc>
          <w:tcPr>
            <w:tcW w:w="4536" w:type="dxa"/>
            <w:tcBorders>
              <w:top w:val="outset" w:sz="6" w:space="0" w:color="0000CC"/>
              <w:left w:val="outset" w:sz="6" w:space="0" w:color="0000CC"/>
              <w:bottom w:val="outset" w:sz="6" w:space="0" w:color="0000CC"/>
              <w:right w:val="outset" w:sz="6" w:space="0" w:color="0000CC"/>
            </w:tcBorders>
            <w:vAlign w:val="center"/>
          </w:tcPr>
          <w:tbl>
            <w:tblPr>
              <w:tblW w:w="5000" w:type="pct"/>
              <w:jc w:val="left"/>
              <w:tblInd w:w="0" w:type="dxa"/>
              <w:tblLayout w:type="fixed"/>
              <w:tblCellMar>
                <w:top w:w="15" w:type="dxa"/>
                <w:left w:w="15" w:type="dxa"/>
                <w:bottom w:w="15" w:type="dxa"/>
                <w:right w:w="15" w:type="dxa"/>
              </w:tblCellMar>
              <w:tblLook w:val="04a0" w:noHBand="0" w:noVBand="1" w:firstColumn="1" w:lastRow="0" w:lastColumn="0" w:firstRow="1"/>
            </w:tblPr>
            <w:tblGrid>
              <w:gridCol w:w="2246"/>
              <w:gridCol w:w="2246"/>
            </w:tblGrid>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rPr>
                  </w:pPr>
                  <w:r>
                    <w:rPr>
                      <w:sz w:val="20"/>
                      <w:szCs w:val="20"/>
                    </w:rPr>
                    <w:t>FICHE RENSEIGNEE PAR :</w:t>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rPr>
                  </w:pPr>
                  <w:r>
                    <w:rPr>
                      <w:sz w:val="20"/>
                      <w:szCs w:val="20"/>
                    </w:rPr>
                    <w:t>FICHE ETABLIE LE :</w:t>
                  </w:r>
                </w:p>
              </w:tc>
              <w:tc>
                <w:tcPr>
                  <w:tcW w:w="2246" w:type="dxa"/>
                  <w:tcBorders/>
                  <w:vAlign w:val="center"/>
                </w:tcPr>
                <w:p>
                  <w:pPr>
                    <w:pStyle w:val="Normal"/>
                    <w:widowControl w:val="false"/>
                    <w:rPr>
                      <w:rFonts w:ascii="Times New Roman" w:hAnsi="Times New Roman"/>
                    </w:rPr>
                  </w:pPr>
                  <w:r>
                    <w:rPr>
                      <w:sz w:val="20"/>
                      <w:szCs w:val="20"/>
                    </w:rPr>
                    <w:t>___/___/____</w:t>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bl>
          <w:p>
            <w:pPr>
              <w:pStyle w:val="Normal"/>
              <w:widowControl w:val="false"/>
              <w:rPr>
                <w:rFonts w:ascii="Times New Roman" w:hAnsi="Times New Roman"/>
                <w:sz w:val="20"/>
                <w:szCs w:val="20"/>
              </w:rPr>
            </w:pPr>
            <w:r>
              <w:rPr>
                <w:sz w:val="20"/>
                <w:szCs w:val="20"/>
              </w:rPr>
            </w:r>
          </w:p>
        </w:tc>
      </w:tr>
    </w:tbl>
    <w:p>
      <w:pPr>
        <w:pStyle w:val="Titre2"/>
        <w:numPr>
          <w:ilvl w:val="1"/>
          <w:numId w:val="1"/>
        </w:numPr>
        <w:rPr>
          <w:rFonts w:ascii="Times New Roman" w:hAnsi="Times New Roman"/>
        </w:rPr>
      </w:pPr>
      <w:r>
        <w:drawing>
          <wp:inline distT="0" distB="0" distL="0" distR="0">
            <wp:extent cx="237490" cy="237490"/>
            <wp:effectExtent l="0" t="0" r="0" b="0"/>
            <wp:docPr id="1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2"/>
                    <a:stretch>
                      <a:fillRect/>
                    </a:stretch>
                  </pic:blipFill>
                  <pic:spPr bwMode="auto">
                    <a:xfrm>
                      <a:off x="0" y="0"/>
                      <a:ext cx="237490" cy="237490"/>
                    </a:xfrm>
                    <a:prstGeom prst="rect">
                      <a:avLst/>
                    </a:prstGeom>
                  </pic:spPr>
                </pic:pic>
              </a:graphicData>
            </a:graphic>
          </wp:inline>
        </w:drawing>
      </w:r>
      <w:r>
        <w:t>Lieux de travail</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lieux de travail</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poste de chargement des camions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inadaptation des locaux, états des sols (glissants, encombrés, sur plusieurs niveaux…), éclairage inadapté, chauffage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centrale de fabrication d'enrobés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cabine de télécommande en centrale d'enrobés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bruit superieur a 80 dB</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aire de stockage des agrégats en centrale d'enrobés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mauvaise organisation du stockage, éboulement, espace de travail avec circulation entre véhicules</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rPr>
      </w:pPr>
      <w:r/>
    </w:p>
    <w:p>
      <w:pPr>
        <w:pStyle w:val="Titre2"/>
        <w:numPr>
          <w:ilvl w:val="1"/>
          <w:numId w:val="1"/>
        </w:numPr>
        <w:rPr>
          <w:rFonts w:ascii="Times New Roman" w:hAnsi="Times New Roman"/>
        </w:rPr>
      </w:pPr>
      <w:r>
        <w:drawing>
          <wp:inline distT="0" distB="0" distL="0" distR="0">
            <wp:extent cx="237490" cy="237490"/>
            <wp:effectExtent l="0" t="0" r="0" b="0"/>
            <wp:docPr id="13"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descr=""/>
                    <pic:cNvPicPr>
                      <a:picLocks noChangeAspect="1" noChangeArrowheads="1"/>
                    </pic:cNvPicPr>
                  </pic:nvPicPr>
                  <pic:blipFill>
                    <a:blip r:embed="rId3"/>
                    <a:stretch>
                      <a:fillRect/>
                    </a:stretch>
                  </pic:blipFill>
                  <pic:spPr bwMode="auto">
                    <a:xfrm>
                      <a:off x="0" y="0"/>
                      <a:ext cx="237490" cy="237490"/>
                    </a:xfrm>
                    <a:prstGeom prst="rect">
                      <a:avLst/>
                    </a:prstGeom>
                  </pic:spPr>
                </pic:pic>
              </a:graphicData>
            </a:graphic>
          </wp:inline>
        </w:drawing>
      </w:r>
      <w:r>
        <w:rPr>
          <w:b/>
          <w:bCs/>
          <w:color w:val="49AB62"/>
        </w:rPr>
        <w:t>Organisation du travail</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 l'organisation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horaires de travail : à préciser</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travail de nuit</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travail de nuit &gt;270h/an</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travail posté</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travail poste 3x8, 5x8, amplitude horaire de travail continue superieure a 10 h</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travail au sein d'une équipe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contrainte relationnelle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horaire variable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horaire generant une perturbation de la vie sociale, rythme pouvant générer une perturbation de la vie familiale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logement sur le chantier ( en bungalow)</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logement à l'hôtel</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rPr>
      </w:pPr>
      <w:r/>
    </w:p>
    <w:p>
      <w:pPr>
        <w:pStyle w:val="Titre2"/>
        <w:numPr>
          <w:ilvl w:val="1"/>
          <w:numId w:val="1"/>
        </w:numPr>
        <w:rPr>
          <w:rFonts w:ascii="Times New Roman" w:hAnsi="Times New Roman"/>
        </w:rPr>
      </w:pPr>
      <w:r>
        <w:drawing>
          <wp:inline distT="0" distB="0" distL="0" distR="0">
            <wp:extent cx="237490" cy="237490"/>
            <wp:effectExtent l="0" t="0" r="0" b="0"/>
            <wp:docPr id="14"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 descr=""/>
                    <pic:cNvPicPr>
                      <a:picLocks noChangeAspect="1" noChangeArrowheads="1"/>
                    </pic:cNvPicPr>
                  </pic:nvPicPr>
                  <pic:blipFill>
                    <a:blip r:embed="rId4"/>
                    <a:stretch>
                      <a:fillRect/>
                    </a:stretch>
                  </pic:blipFill>
                  <pic:spPr bwMode="auto">
                    <a:xfrm>
                      <a:off x="0" y="0"/>
                      <a:ext cx="237490" cy="237490"/>
                    </a:xfrm>
                    <a:prstGeom prst="rect">
                      <a:avLst/>
                    </a:prstGeom>
                  </pic:spPr>
                </pic:pic>
              </a:graphicData>
            </a:graphic>
          </wp:inline>
        </w:drawing>
      </w:r>
      <w:r>
        <w:rPr>
          <w:b/>
          <w:bCs/>
          <w:color w:val="49AB62"/>
          <w:sz w:val="28"/>
          <w:szCs w:val="28"/>
        </w:rPr>
        <w:t>T</w:t>
      </w:r>
      <w:r>
        <w:rPr>
          <w:rFonts w:eastAsia="Times New Roman" w:cs="Times New Roman"/>
          <w:b/>
          <w:bCs/>
          <w:color w:val="49AB62"/>
          <w:kern w:val="0"/>
          <w:sz w:val="28"/>
          <w:szCs w:val="28"/>
        </w:rPr>
        <w:t>âches</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tâches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TACHES DU CONDUCTEUR DE CHARGEUSE SUR PNEUS / DU MANOEUVRE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bruit superieur a 80 dB, vibration transmise corps entier superieure au seuil d'alerte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approvisionner en agrégats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TACHES DU CONDUCTEUR DE CENTRALE (PUPITREUR OU OPERATEUR)</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travail sous contrainte de temps imposee (travail a la chaine, cadence elevee, salaire au rendement,, aleas a gerer  generant une charge mentale particuliere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surveiller le fonctionnement de toute la centrale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approvisionner les composants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surveiller la fabrication des différentes formules d’enrobés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contrôler l’acheminement de l’enrobé</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commander le chargement du camion en centrale d'enrobés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peser électroniquement les camions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TACHES DU MECANICIEN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bruit superieur a 80 dB, dechet d'huile et graisse industrielle, solvants (cf produits), solvant de nettoyage, espace de travail situé en hauteur, posture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effectuer des interventions de dépannage et de maintenance préventive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effectuer des réparations (mécanicien de centrale d'enrobés)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entretenir la centrale d'enrobés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mettre en sécurité l’installation de la centrale d'enrobés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effectuer les contrôles en centrale d'enrobés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règler les galets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nettoyer les filtres des silos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débourrer la vis à filler</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monter / démonter la centrale mobile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TACHES DU MANOEUVRE EN CENTRALE D'ENROBES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nettoyer la centrale d'enrobés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bruit superieur a 80 dB, posture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nettoyer le fossé de décantation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incorporer les additifs solides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TACHES DU CHEF DE POSTE  EN CENTRALE D'ENROBE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contrôler et coordonner l’activité du personnel de la centrale d'enrobés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établir les programmes de fabrication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contrôler la conformité des produits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organiser et planifier les travaux de maintenance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définir les procédures de mise  en route de la centrale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procèder à des mises en sécurité de l’installation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5"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 descr=""/>
                    <pic:cNvPicPr>
                      <a:picLocks noChangeAspect="1" noChangeArrowheads="1"/>
                    </pic:cNvPicPr>
                  </pic:nvPicPr>
                  <pic:blipFill>
                    <a:blip r:embed="rId5"/>
                    <a:stretch>
                      <a:fillRect/>
                    </a:stretch>
                  </pic:blipFill>
                  <pic:spPr bwMode="auto">
                    <a:xfrm>
                      <a:off x="0" y="0"/>
                      <a:ext cx="237490" cy="237490"/>
                    </a:xfrm>
                    <a:prstGeom prst="rect">
                      <a:avLst/>
                    </a:prstGeom>
                  </pic:spPr>
                </pic:pic>
              </a:graphicData>
            </a:graphic>
          </wp:inline>
        </w:drawing>
      </w:r>
      <w:r>
        <w:rPr>
          <w:b/>
          <w:bCs/>
          <w:color w:val="49AB62"/>
        </w:rPr>
        <w:t>Outils et équipements</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outils et équipements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échelle verticale à crinolines (agent centrale enrobé)</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malaxeur</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machines en mouvements</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trémies de prédosage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bruit superieur a 80 dB</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sécheur-brûleur en centrale d'enrobés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bruit superieur a 80 dB, contact avec les pieces chaudes</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bande transporteuse d'agrégats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machines en mouvements</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élévateurs d'enrobés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tapis extracteur</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machines en mouvements</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silo de stockage en centrale d'enrobé</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incendie, explosion</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chaudière à fuel</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incendie, explosion</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citerne gaz</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incendie, explosion</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cuve à bitume en centrale d'enrobés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incendie, explosion</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compresseur</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bruit superieur a 80 dB</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6"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5" descr=""/>
                    <pic:cNvPicPr>
                      <a:picLocks noChangeAspect="1" noChangeArrowheads="1"/>
                    </pic:cNvPicPr>
                  </pic:nvPicPr>
                  <pic:blipFill>
                    <a:blip r:embed="rId6"/>
                    <a:stretch>
                      <a:fillRect/>
                    </a:stretch>
                  </pic:blipFill>
                  <pic:spPr bwMode="auto">
                    <a:xfrm>
                      <a:off x="0" y="0"/>
                      <a:ext cx="237490" cy="237490"/>
                    </a:xfrm>
                    <a:prstGeom prst="rect">
                      <a:avLst/>
                    </a:prstGeom>
                  </pic:spPr>
                </pic:pic>
              </a:graphicData>
            </a:graphic>
          </wp:inline>
        </w:drawing>
      </w:r>
      <w:r>
        <w:rPr>
          <w:b/>
          <w:bCs/>
          <w:color w:val="49AB62"/>
        </w:rPr>
        <w:t>Produits, matériaux et publics concernés</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produits utilisés ou des publics concernés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filler (poudre calcaire)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agrégats( gravillons, sable) (agent de centrale d'enrobés)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liants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additifs solides pour enrobés spéciaux</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matériel électrique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matériel électrique défectueux, conducteurs nus sous tension, conducteurs dénudés sous tension, classe de protection inadaptee ou deterioree, protection mal adaptée contre les surintensités, protection mal adaptée contre les courants de défaut</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produits noirs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matériau haute température, bitume, suie et autre produit degage lors de l'utilisation de produit noir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7"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 descr=""/>
                    <pic:cNvPicPr>
                      <a:picLocks noChangeAspect="1" noChangeArrowheads="1"/>
                    </pic:cNvPicPr>
                  </pic:nvPicPr>
                  <pic:blipFill>
                    <a:blip r:embed="rId7"/>
                    <a:stretch>
                      <a:fillRect/>
                    </a:stretch>
                  </pic:blipFill>
                  <pic:spPr bwMode="auto">
                    <a:xfrm>
                      <a:off x="0" y="0"/>
                      <a:ext cx="237490" cy="237490"/>
                    </a:xfrm>
                    <a:prstGeom prst="rect">
                      <a:avLst/>
                    </a:prstGeom>
                  </pic:spPr>
                </pic:pic>
              </a:graphicData>
            </a:graphic>
          </wp:inline>
        </w:drawing>
      </w:r>
      <w:r>
        <w:rPr>
          <w:sz w:val="20"/>
          <w:szCs w:val="20"/>
        </w:rPr>
        <w:t xml:space="preserve"> </w:t>
      </w:r>
      <w:r>
        <w:rPr>
          <w:b/>
          <w:bCs/>
          <w:color w:val="49AB62"/>
        </w:rPr>
        <w:t>Tenue de travail</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tenues de travail</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vêtements ignifugés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chaussures de sécurité isolantes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tous types de masques adaptés au risque chimique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sz w:val="24"/>
          <w:szCs w:val="24"/>
        </w:rPr>
      </w:pPr>
      <w:r>
        <w:rPr>
          <w:sz w:val="24"/>
          <w:szCs w:val="24"/>
        </w:rPr>
      </w:r>
    </w:p>
    <w:tbl>
      <w:tblPr>
        <w:tblW w:w="500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9072"/>
      </w:tblGrid>
      <w:tr>
        <w:trPr/>
        <w:tc>
          <w:tcPr>
            <w:tcW w:w="9072" w:type="dxa"/>
            <w:tcBorders>
              <w:top w:val="outset" w:sz="6" w:space="0" w:color="002060"/>
              <w:left w:val="outset" w:sz="6" w:space="0" w:color="002060"/>
              <w:bottom w:val="outset" w:sz="6" w:space="0" w:color="002060"/>
              <w:right w:val="outset" w:sz="6" w:space="0" w:color="002060"/>
            </w:tcBorders>
            <w:vAlign w:val="center"/>
          </w:tcPr>
          <w:p>
            <w:pPr>
              <w:pStyle w:val="Normal"/>
              <w:widowControl w:val="false"/>
              <w:rPr>
                <w:rFonts w:ascii="Times New Roman" w:hAnsi="Times New Roman"/>
              </w:rPr>
            </w:pPr>
            <w:r>
              <w:rPr>
                <w:color w:val="49AB62"/>
                <w:sz w:val="20"/>
                <w:szCs w:val="20"/>
              </w:rPr>
              <w:t>SYNTHESE</w:t>
            </w:r>
            <w:r>
              <w:rPr>
                <w:color w:val="00B0F0"/>
                <w:sz w:val="20"/>
                <w:szCs w:val="20"/>
              </w:rPr>
              <w:t xml:space="preserve"> :</w:t>
              <w:br/>
              <w:br/>
              <w:br/>
              <w:br/>
            </w:r>
          </w:p>
        </w:tc>
      </w:tr>
      <w:tr>
        <w:trPr/>
        <w:tc>
          <w:tcPr>
            <w:tcW w:w="9072" w:type="dxa"/>
            <w:tcBorders>
              <w:top w:val="outset" w:sz="6" w:space="0" w:color="002060"/>
              <w:left w:val="outset" w:sz="6" w:space="0" w:color="002060"/>
              <w:bottom w:val="outset" w:sz="6" w:space="0" w:color="002060"/>
              <w:right w:val="outset" w:sz="6" w:space="0" w:color="002060"/>
            </w:tcBorders>
            <w:vAlign w:val="center"/>
          </w:tcPr>
          <w:p>
            <w:pPr>
              <w:pStyle w:val="Normal"/>
              <w:widowControl w:val="false"/>
              <w:jc w:val="center"/>
              <w:rPr>
                <w:rFonts w:ascii="Times New Roman" w:hAnsi="Times New Roman"/>
              </w:rPr>
            </w:pPr>
            <w:r>
              <w:rPr>
                <w:color w:val="49AB62"/>
                <w:sz w:val="20"/>
                <w:szCs w:val="20"/>
              </w:rPr>
              <w:t>INFORMATIONS DONNEES /DOCUMENTS REMIS</w:t>
            </w:r>
            <w:r>
              <w:rPr>
                <w:color w:val="002060"/>
                <w:sz w:val="20"/>
                <w:szCs w:val="20"/>
              </w:rPr>
              <w:br/>
              <w:br/>
            </w:r>
          </w:p>
        </w:tc>
      </w:tr>
    </w:tbl>
    <w:p>
      <w:pPr>
        <w:pStyle w:val="Normal"/>
        <w:rPr>
          <w:rFonts w:ascii="Times New Roman" w:hAnsi="Times New Roman"/>
          <w:sz w:val="20"/>
          <w:szCs w:val="20"/>
        </w:rPr>
      </w:pPr>
      <w:r>
        <w:rPr>
          <w:sz w:val="20"/>
          <w:szCs w:val="20"/>
        </w:rPr>
      </w:r>
    </w:p>
    <w:p>
      <w:pPr>
        <w:pStyle w:val="Normal"/>
        <w:spacing w:lineRule="auto" w:line="240"/>
        <w:jc w:val="center"/>
      </w:pPr>
      <w:r>
        <w:rPr>
          <w:rFonts w:eastAsia="Times New Roman" w:cs="Times New Roman"/>
          <w:i/>
          <w:iCs/>
          <w:color w:val="49AB62"/>
          <w:sz w:val="24"/>
          <w:szCs w:val="24"/>
        </w:rPr>
        <w:t>Fiche d'entretien professionnel générée le 23/06/2025 issue de la FMP Agent de centrale d'enrobés, consultable sur le site :</w:t>
      </w:r>
      <w:r>
        <w:rPr>
          <w:color w:val="49AB62"/>
        </w:rPr>
        <w:br/>
      </w:r>
      <w:r>
        <w:rPr>
          <w:rFonts w:eastAsia="Times New Roman" w:cs="Times New Roman"/>
          <w:i/>
          <w:iCs/>
          <w:color w:val="49AB62"/>
          <w:sz w:val="24"/>
          <w:szCs w:val="24"/>
        </w:rPr>
        <w:t xml:space="preserve"> </w:t>
      </w:r>
      <w:r>
        <w:rPr>
          <w:color w:val="49AB62"/>
        </w:rPr>
        <w:br/>
      </w:r>
      <w:hyperlink r:id="rId8">
        <w:r>
          <w:rPr>
            <w:rStyle w:val="LienInternet"/>
            <w:rFonts w:eastAsia="Times New Roman" w:cs="Times New Roman"/>
            <w:i/>
            <w:iCs/>
            <w:color w:val="49AB62"/>
            <w:sz w:val="24"/>
            <w:szCs w:val="24"/>
          </w:rPr>
          <w:t>https://www.fmppresanse.fr</w:t>
        </w:r>
      </w:hyperlink>
    </w:p>
    <w:sectPr>
      <w:headerReference w:type="default" r:id="rId9"/>
      <w:footerReference w:type="default" r:id="rId10"/>
      <w:type w:val="nextPage"/>
      <w:pgSz w:w="11906" w:h="16838"/>
      <w:pgMar w:left="1417" w:right="1417" w:gutter="0" w:header="567" w:top="1531" w:footer="1417" w:bottom="1976"/>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imes New Roman">
    <w:charset w:val="01"/>
    <w:family w:val="swiss"/>
    <w:pitch w:val="variable"/>
  </w:font>
  <w:font w:name="Cambria">
    <w:charset w:val="01"/>
    <w:family w:val="roman"/>
    <w:pitch w:val="variable"/>
  </w:font>
  <w:font w:name="Tahoma">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pPr>
    <w:r>
      <w:tab/>
    </w:r>
    <w:r>
      <w:rPr>
        <w:sz w:val="20"/>
        <w:szCs w:val="20"/>
      </w:rPr>
      <w:fldChar w:fldCharType="begin"/>
    </w:r>
    <w:r>
      <w:rPr>
        <w:sz w:val="20"/>
        <w:szCs w:val="20"/>
      </w:rPr>
      <w:instrText xml:space="preserve"> PAGE </w:instrText>
    </w:r>
    <w:r>
      <w:rPr>
        <w:sz w:val="20"/>
        <w:szCs w:val="20"/>
      </w:rPr>
      <w:fldChar w:fldCharType="separate"/>
    </w:r>
    <w:r>
      <w:rPr>
        <w:sz w:val="20"/>
        <w:szCs w:val="20"/>
      </w:rPr>
      <w:t>2</w:t>
    </w:r>
    <w:r>
      <w:rPr>
        <w:sz w:val="20"/>
        <w:szCs w:val="20"/>
      </w:rPr>
      <w:fldChar w:fldCharType="end"/>
    </w:r>
    <w:r>
      <w:rPr>
        <w:sz w:val="20"/>
        <w:szCs w:val="20"/>
      </w:rPr>
      <w:t xml:space="preserve"> / </w:t>
    </w:r>
    <w:r>
      <w:rPr>
        <w:sz w:val="20"/>
        <w:szCs w:val="20"/>
      </w:rPr>
      <w:fldChar w:fldCharType="begin"/>
    </w:r>
    <w:r>
      <w:rPr>
        <w:sz w:val="20"/>
        <w:szCs w:val="20"/>
      </w:rPr>
      <w:instrText xml:space="preserve"> NUMPAGES </w:instrText>
    </w:r>
    <w:r>
      <w:rPr>
        <w:sz w:val="20"/>
        <w:szCs w:val="20"/>
      </w:rPr>
      <w:fldChar w:fldCharType="separate"/>
    </w:r>
    <w:r>
      <w:rPr>
        <w:sz w:val="20"/>
        <w:szCs w:val="20"/>
      </w:rPr>
      <w:t>2</w:t>
    </w:r>
    <w:r>
      <w:rPr>
        <w:sz w:val="20"/>
        <w:szCs w:val="20"/>
      </w:rPr>
      <w:fldChar w:fldCharType="end"/>
    </w:r>
    <w:r>
      <w:rPr>
        <w:sz w:val="20"/>
        <w:szCs w:val="20"/>
      </w:rPr>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Entte"/>
    </w:pPr>
    <w:r>
      <w:drawing>
        <wp:anchor behindDoc="1" distT="0" distB="0" distL="0" distR="0" simplePos="0" locked="0" layoutInCell="0" allowOverlap="1" relativeHeight="8">
          <wp:simplePos x="0" y="0"/>
          <wp:positionH relativeFrom="column">
            <wp:align>left</wp:align>
          </wp:positionH>
          <wp:positionV relativeFrom="paragraph">
            <wp:posOffset>635</wp:posOffset>
          </wp:positionV>
          <wp:extent cx="1956435" cy="503555"/>
          <wp:effectExtent l="0" t="0" r="0" b="0"/>
          <wp:wrapSquare wrapText="largest"/>
          <wp:docPr id="9"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7" descr=""/>
                  <pic:cNvPicPr>
                    <a:picLocks noChangeAspect="1" noChangeArrowheads="1"/>
                  </pic:cNvPicPr>
                </pic:nvPicPr>
                <pic:blipFill>
                  <a:blip r:embed="rId1"/>
                  <a:stretch>
                    <a:fillRect/>
                  </a:stretch>
                </pic:blipFill>
                <pic:spPr bwMode="auto">
                  <a:xfrm>
                    <a:off x="0" y="0"/>
                    <a:ext cx="1956435" cy="503555"/>
                  </a:xfrm>
                  <a:prstGeom prst="rect">
                    <a:avLst/>
                  </a:prstGeom>
                </pic:spPr>
              </pic:pic>
            </a:graphicData>
          </a:graphic>
        </wp:anchor>
      </w:drawing>
      <w:drawing>
        <wp:anchor behindDoc="1" distT="0" distB="0" distL="0" distR="0" simplePos="0" locked="0" layoutInCell="0" allowOverlap="1" relativeHeight="10">
          <wp:simplePos x="0" y="0"/>
          <wp:positionH relativeFrom="column">
            <wp:posOffset>4671060</wp:posOffset>
          </wp:positionH>
          <wp:positionV relativeFrom="paragraph">
            <wp:posOffset>119380</wp:posOffset>
          </wp:positionV>
          <wp:extent cx="1057275" cy="276225"/>
          <wp:effectExtent l="0" t="0" r="0" b="0"/>
          <wp:wrapSquare wrapText="largest"/>
          <wp:docPr id="10"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 descr=""/>
                  <pic:cNvPicPr>
                    <a:picLocks noChangeAspect="1" noChangeArrowheads="1"/>
                  </pic:cNvPicPr>
                </pic:nvPicPr>
                <pic:blipFill>
                  <a:blip r:embed="rId2"/>
                  <a:stretch>
                    <a:fillRect/>
                  </a:stretch>
                </pic:blipFill>
                <pic:spPr bwMode="auto">
                  <a:xfrm>
                    <a:off x="0" y="0"/>
                    <a:ext cx="1057275" cy="27622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fr-FR" w:eastAsia="fr-FR" w:bidi="ar-SA"/>
    </w:rPr>
  </w:style>
  <w:style w:type="paragraph" w:styleId="Titre1">
    <w:name w:val="Heading 1"/>
    <w:basedOn w:val="Normal"/>
    <w:link w:val="Titre1Car"/>
    <w:uiPriority w:val="9"/>
    <w:qFormat/>
    <w:pPr>
      <w:spacing w:beforeAutospacing="1" w:afterAutospacing="1"/>
      <w:outlineLvl w:val="0"/>
    </w:pPr>
    <w:rPr>
      <w:rFonts w:ascii="Times New Roman" w:hAnsi="Times New Roman" w:cs="Arial"/>
      <w:b/>
      <w:bCs/>
      <w:caps w:val="false"/>
      <w:smallCaps w:val="false"/>
      <w:color w:val="auto"/>
      <w:kern w:val="2"/>
      <w:sz w:val="32"/>
      <w:szCs w:val="28"/>
    </w:rPr>
  </w:style>
  <w:style w:type="paragraph" w:styleId="Titre2">
    <w:name w:val="Heading 2"/>
    <w:basedOn w:val="Titre"/>
    <w:next w:val="Corpsdetexte"/>
    <w:qFormat/>
    <w:pPr>
      <w:spacing w:before="200" w:after="120"/>
      <w:outlineLvl w:val="1"/>
    </w:pPr>
    <w:rPr>
      <w:rFonts w:ascii="Times New Roman" w:hAnsi="Times New Roman"/>
      <w:b/>
      <w:bCs/>
      <w:color w:val="49AB62"/>
      <w:sz w:val="28"/>
      <w:szCs w:val="32"/>
    </w:rPr>
  </w:style>
  <w:style w:type="character" w:styleId="DefaultParagraphFont" w:default="1">
    <w:name w:val="Default Paragraph Font"/>
    <w:uiPriority w:val="1"/>
    <w:semiHidden/>
    <w:unhideWhenUsed/>
    <w:qFormat/>
    <w:rPr/>
  </w:style>
  <w:style w:type="character" w:styleId="Titre1Car" w:customStyle="1">
    <w:name w:val="Titre 1 Car"/>
    <w:uiPriority w:val="9"/>
    <w:qFormat/>
    <w:rPr>
      <w:rFonts w:ascii="Cambria" w:hAnsi="Cambria" w:eastAsia="Times New Roman" w:cs="Times New Roman"/>
      <w:b/>
      <w:bCs/>
      <w:color w:val="365F91"/>
      <w:sz w:val="28"/>
      <w:szCs w:val="28"/>
    </w:rPr>
  </w:style>
  <w:style w:type="character" w:styleId="TextedebullesCar" w:customStyle="1">
    <w:name w:val="Texte de bulles Car"/>
    <w:uiPriority w:val="99"/>
    <w:semiHidden/>
    <w:qFormat/>
    <w:rsid w:val="00da13c1"/>
    <w:rPr>
      <w:rFonts w:ascii="Tahoma" w:hAnsi="Tahoma" w:eastAsia="Times New Roman" w:cs="Tahoma"/>
      <w:sz w:val="16"/>
      <w:szCs w:val="16"/>
    </w:rPr>
  </w:style>
  <w:style w:type="character" w:styleId="Annotationreference">
    <w:name w:val="annotation reference"/>
    <w:uiPriority w:val="99"/>
    <w:semiHidden/>
    <w:unhideWhenUsed/>
    <w:qFormat/>
    <w:rsid w:val="00df1fcb"/>
    <w:rPr>
      <w:sz w:val="16"/>
      <w:szCs w:val="16"/>
    </w:rPr>
  </w:style>
  <w:style w:type="character" w:styleId="CommentaireCar" w:customStyle="1">
    <w:name w:val="Commentaire Car"/>
    <w:basedOn w:val="DefaultParagraphFont"/>
    <w:uiPriority w:val="99"/>
    <w:semiHidden/>
    <w:qFormat/>
    <w:rsid w:val="00df1fcb"/>
    <w:rPr/>
  </w:style>
  <w:style w:type="character" w:styleId="ObjetducommentaireCar" w:customStyle="1">
    <w:name w:val="Objet du commentaire Car"/>
    <w:uiPriority w:val="99"/>
    <w:semiHidden/>
    <w:qFormat/>
    <w:rsid w:val="00df1fcb"/>
    <w:rPr>
      <w:b/>
      <w:bCs/>
    </w:rPr>
  </w:style>
  <w:style w:type="character" w:styleId="LienInternet">
    <w:name w:val="Lien Internet"/>
    <w:basedOn w:val="DefaultParagraphFont"/>
    <w:rPr>
      <w:color w:val="0563C1" w:themeColor="hyperlink"/>
      <w:u w:val="single"/>
    </w:rPr>
  </w:style>
  <w:style w:type="character" w:styleId="Caractresdenumrotation">
    <w:name w:val="Caractères de numérotation"/>
    <w:qFormat/>
    <w:rPr/>
  </w:style>
  <w:style w:type="character" w:styleId="Bullets">
    <w:name w:val="Bullets"/>
    <w:qFormat/>
    <w:rPr>
      <w:rFonts w:ascii="OpenSymbol" w:hAnsi="OpenSymbol" w:eastAsia="OpenSymbol" w:cs="OpenSymbol"/>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Ctoclasse" w:customStyle="1">
    <w:name w:val="ctoclasse"/>
    <w:basedOn w:val="Normal"/>
    <w:qFormat/>
    <w:pPr>
      <w:spacing w:beforeAutospacing="1" w:afterAutospacing="1"/>
    </w:pPr>
    <w:rPr>
      <w:rFonts w:ascii="Arial" w:hAnsi="Arial" w:cs="Arial"/>
      <w:b/>
      <w:bCs/>
      <w:caps/>
      <w:sz w:val="26"/>
      <w:szCs w:val="26"/>
    </w:rPr>
  </w:style>
  <w:style w:type="paragraph" w:styleId="BalloonText">
    <w:name w:val="Balloon Text"/>
    <w:basedOn w:val="Normal"/>
    <w:link w:val="TextedebullesCar"/>
    <w:uiPriority w:val="99"/>
    <w:semiHidden/>
    <w:unhideWhenUsed/>
    <w:qFormat/>
    <w:rsid w:val="00da13c1"/>
    <w:pPr/>
    <w:rPr>
      <w:rFonts w:ascii="Tahoma" w:hAnsi="Tahoma" w:cs="Tahoma"/>
      <w:sz w:val="16"/>
      <w:szCs w:val="16"/>
    </w:rPr>
  </w:style>
  <w:style w:type="paragraph" w:styleId="Annotationtext">
    <w:name w:val="annotation text"/>
    <w:basedOn w:val="Normal"/>
    <w:link w:val="CommentaireCar"/>
    <w:uiPriority w:val="99"/>
    <w:semiHidden/>
    <w:unhideWhenUsed/>
    <w:qFormat/>
    <w:rsid w:val="00df1fcb"/>
    <w:pPr/>
    <w:rPr>
      <w:sz w:val="20"/>
      <w:szCs w:val="20"/>
    </w:rPr>
  </w:style>
  <w:style w:type="paragraph" w:styleId="Annotationsubject">
    <w:name w:val="annotation subject"/>
    <w:basedOn w:val="Annotationtext"/>
    <w:next w:val="Annotationtext"/>
    <w:link w:val="ObjetducommentaireCar"/>
    <w:uiPriority w:val="99"/>
    <w:semiHidden/>
    <w:unhideWhenUsed/>
    <w:qFormat/>
    <w:rsid w:val="00df1fcb"/>
    <w:pPr/>
    <w:rPr>
      <w:b/>
      <w:bCs/>
    </w:rPr>
  </w:style>
  <w:style w:type="paragraph" w:styleId="Contenudetableau">
    <w:name w:val="Contenu de tableau"/>
    <w:basedOn w:val="Normal"/>
    <w:qFormat/>
    <w:pPr>
      <w:widowControl w:val="false"/>
      <w:suppressLineNumbers/>
    </w:pPr>
    <w:rPr/>
  </w:style>
  <w:style w:type="paragraph" w:styleId="Entteetpieddepage">
    <w:name w:val="En-tête et pied de page"/>
    <w:basedOn w:val="Normal"/>
    <w:qFormat/>
    <w:pPr>
      <w:suppressLineNumbers/>
      <w:tabs>
        <w:tab w:val="clear" w:pos="720"/>
        <w:tab w:val="center" w:pos="4536" w:leader="none"/>
        <w:tab w:val="right" w:pos="9072" w:leader="none"/>
      </w:tabs>
    </w:pPr>
    <w:rPr/>
  </w:style>
  <w:style w:type="paragraph" w:styleId="Entte">
    <w:name w:val="Header"/>
    <w:basedOn w:val="Entteetpieddepage"/>
    <w:pPr>
      <w:suppressLineNumbers/>
    </w:pPr>
    <w:rPr/>
  </w:style>
  <w:style w:type="paragraph" w:styleId="FrameContents">
    <w:name w:val="Frame Contents"/>
    <w:basedOn w:val="Normal"/>
    <w:qFormat/>
    <w:pPr/>
    <w:rPr/>
  </w:style>
  <w:style w:type="paragraph" w:styleId="Pieddepage">
    <w:name w:val="Footer"/>
    <w:basedOn w:val="Entteetpieddepage"/>
    <w:pPr>
      <w:suppressLineNumbers/>
    </w:pPr>
    <w:rPr/>
  </w:style>
  <w:style w:type="paragraph" w:styleId="Contenudecadre">
    <w:name w:val="Contenu de cadre"/>
    <w:basedOn w:val="Normal"/>
    <w:qFormat/>
    <w:pPr/>
    <w:rPr/>
  </w:style>
  <w:style w:type="numbering" w:styleId="NoList" w:default="1">
    <w:name w:val="No List"/>
    <w:uiPriority w:val="99"/>
    <w:semiHidden/>
    <w:unhideWhenUsed/>
    <w:qFormat/>
  </w:style>
  <w:style w:type="numbering" w:styleId="Bullet">
    <w:name w:val="Bullet "/>
    <w:qFormat/>
  </w:style>
  <w:style w:type="numbering" w:styleId="BulletPresanse">
    <w:name w:val="Bullet Presanse"/>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TableGrid">
    <w:name w:val="Table Grid"/>
    <w:basedOn w:val="Tableau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image" Target="media/image1.png"/><Relationship Id="rId5" Type="http://schemas.openxmlformats.org/officeDocument/2006/relationships/image" Target="media/image1.png"/><Relationship Id="rId6" Type="http://schemas.openxmlformats.org/officeDocument/2006/relationships/image" Target="media/image1.png"/><Relationship Id="rId7" Type="http://schemas.openxmlformats.org/officeDocument/2006/relationships/image" Target="media/image1.png"/><Relationship Id="rId8" Type="http://schemas.openxmlformats.org/officeDocument/2006/relationships/hyperlink" Target="https://www.fmppresanse.fr/" TargetMode="External"/><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Application>LibreOffice/7.3.7.2$Linux_X86_64 LibreOffice_project/30$Build-2</Application>
  <AppVersion>15.0000</AppVersion>
  <Pages>2</Pages>
  <Words>160</Words>
  <Characters>1334</Characters>
  <CharactersWithSpaces>1451</CharactersWithSpaces>
  <Paragraphs>57</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2022-05-06T10:06:00Z</dcterms:created>
  <dc:creator>elise;OpenTBS 1.10.7</dc:creator>
  <dc:description/>
  <dc:language>fr-FR</dc:language>
  <cp:lastModifiedBy/>
  <dcterms:modified xsi:type="dcterms:W3CDTF">2023-04-25T14:18:50Z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file>