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Grutier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cabine  de grue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intempérie, coactivite (plusieurs activites concomitantes dans un meme lieu), exposition aux UV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dépôt de matériaux gros oeuvre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proche de ligne aérienne électrique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quai de chargement, déchargement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ambiance thermique inconfortable, éclairage  éblouissant, éclairage insuffisant, espace de travail avec sol encombré, 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impératif de sécurité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en coordination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dans le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communication par radio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autonomie décisionnelle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temps de réaction adapté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samedi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 2x8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monter et démonter la grue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receptionner la grue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contrôler l'état des équipements de la grue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évaluer et contrôler le poids des charges transportées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monter et descendre de la grue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cardiaque, nuisances du grutier, espace de travail d'accès dangereux, espace de travail d'accès physiquement difficile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opérations de prise de poste du grutier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controler visuellement les élingues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surveiller l'élingage des charges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de la charge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une grue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d'un engin mobile automoteur ou de levage, charge mentale liée à un poste de sécurité, nuisances du grutier, travail isole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recevoir des ordres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utiliser les abaques et l'anénomètre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l'entretien courant de la grue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opérations de fin de poste du grutier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grue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lests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arrétoirs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abaques de charges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talkie-walkie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indicateurs de sécurité (anénomètre)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élingue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rupture de l'élingue, basculement de la charge soulevée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charges transportées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de la charge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 (artisans  et entreprises BTP)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graisse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veste et pantalon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protections auditives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harnais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gene liee au poids de la protection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13/03/2026 issue de la FMP Grutier,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