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Employé de station service</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piste de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kiosque de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agression physique, braquage, hold-up, absence de sanitaires accessibles, vapeur ou liquide organique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boutique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multiplicité des tâches induisant une charge mentale, braquage, hold-up</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salle de restauration rapide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bruit environnant de faible intensité, - espace de travail avec sol glissant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chaude ou zone de cuisson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de decomposition thermique d'huile et graisse alimentaire, vapeur liquide d'eau douce, température chaude intérieure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locaux sanitaires pour les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non respect du travail effectué, urines (cf produits), odeurs nauséabondes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réserve-zone de stockage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parking</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défectueux, éclairage insuffisant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station service en sous sol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monoxyde de carbone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de nuit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de nuit &gt;270h/an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le week-end</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horaire generant une perturbation de la vie sociale, nuisances liées au travail les dimanches et jours fériés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multiplicité des tâches</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liées à la simultanéité des tâches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isolé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isolement psychologique, agression physique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dépendance fonctionnelle ou hiérarchique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objectifs divergents et logiques différentes avec la  hiérarchie, faible latitude de decision dans l'organisation de son travail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posté</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poste 3x8, 5x8, amplitude horaire de travail continue superieure a 10 h</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GERER LA DISTRIBUTION DES CARBURANTS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 l'employé de station service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dépoter les carburants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carburants (cf produits), espace de travail situé en hauteur,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contrôler l'état des pistes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surveiller la piste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avec les clients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noter les numéros des plaques d'immatriculation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activite demandant une vigilance, une concentration, une attention soutenue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libérer l'usage des pompes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bloquer la distribution des carburants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distribuer le carburant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encaisser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manipulation d'argent et de valeurs, situation entrainant une charge mentale particuliere, fonction a forte responsabilite assumee humaine, financiere ou de securite, braquage, hold-up</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transférer les fonds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TENIR LA BOUTIQUE DE LA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et faire le facing des rayons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scanner la marchandise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surveiller la boutique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avec les clients entrainant une charge mentale particuliere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surveiller que les clients payent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situation avec les clients entrainant une charge mentale particuliere, fonction a forte responsabilite assumee humaine, financiere ou de securite, activite demandant une vigilance, une concentration, une attention soutenue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recharger les distributeurs de boissons chaudes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mettre en rayon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nuisances de l'employé de libre-service, posture du tronc en rotation et antéflexion du rachis, posture de l'épaule avec élévation de l'épaule, espace de travail avec sol encombré, escabeau inadapte, mise en rayon en presence de la clientele, posture agenouillée, posture debout avec marche, posture, choc répétitif du talon de la main</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TENIR LA CAFETERIA</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travail sous contrainte de temps imposee (travail a la chaine, cadence elevee, salaire au rendement,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AUTRES TACHES DE L'EMPLOYE DE STATION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nettoyer les sanitaires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urine humaine, selles humaines, non respect du travail effectué, odeurs nauséabondes, agent biologique, 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délivrer les vignettes européennes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délivrer les jetons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renseigner les clients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vendre les bouteilles de gaz</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gérer les installations de lavage des véhicules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produits de station de lavage (cf produits)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faire des opérations d'entretien courant et de petite mécanique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cf fmp métier correspondant</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des tâches spécifiques au poste de nuit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tableau de jaugeage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boutons arrêt d'urgence GPL et essence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pompe de distribution de carburant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guichet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trappe de paiement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écran tactile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écran de vidéosurveillance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écran de visualisation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caisse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mauvaise finition du matériel</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scanner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armoire de stockage des bouteilles de gaz</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réfrigérateur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distributeur de boissons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chariot de nettoyage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PUBLICS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tout type de public</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MATERIAUX</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essences SP 95 et SP 98</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benzene (SIR), essence (SIR)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GPL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gaz de petrole liquefie (lpg, gpl...)</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gasoil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fioul (carburant diesel)</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bonbonne de gaz</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marchandises à la vente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combustible liquide pour appareils mobiles de chauffage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sel pour adoucisseur d'eau</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lavage des véhicules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produits de nettoyage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produit lavage sol, mur, surface industrielle, detergent desinfectant pour locaux (sols, murs, surfaces) domestique et professionnel</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adaptés à l'activité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26/05/2026 issue de la FMP Employé de station service,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