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Concepteur rédacteur digital</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plateau ouvert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salle de réunion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de livraison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dépassement horaire fréquent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clients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travail imposant un contrôle permanent ou excessif des émotions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inadapté à l'activité, confusion vie privée-vie professionnelle, ecran de visualisation, rythme pouvant générer une perturbation de la vie familiale, nuisances liées aux moyens alloués en terme d'équipements, disponibilité de la hiérarchie vécue comme insuffisante, nuisances liées au contrôle informatisé du travail, nuisances du télétravail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échanger sur le projet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procéder à des recherches documentaires en publicité</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surcharge de travail ressentie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créer ou décliner publicité web</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concepteur rédacteur digital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soumettre le projet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travailler sur écran dans la filière digitale en publicité</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logiciel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18/06/2025 issue de la FMP Concepteur rédacteur digital,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