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Acheteur d'art</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bureau collectif</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studio photo</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température chaude intérieure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studio d'enregistrement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éclairage insuffisant, espace de travail sousdimensionné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au sein d'une équipe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dépassement horaire fréquent</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variabilite, imprevisibilite de la charge de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télétravail</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inadapté à l'activité, confusion vie privée-vie professionnelle, écran de visualisation, rythme pouvant générer une perturbation de la vie familiale, nuisances liées aux moyens alloués en terme d'équipements, disponibilité de la hiérarchie vécue comme insuffisante, nuisances liées au contrôle informatisé du travail, nuisances du télétravail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prendre connaissance des besoins de la création (DA)</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assister et conseiller les DA dans le choix des intervenants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négocier les honoraires des intervenants et les droits audio-visuels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chiffrer le coût du projet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contraintes financieres entrainant une charge mentale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coordonner les roughs et/ou illustrations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 travail sous contrainte de temps imposee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tenir à jour un fichier contact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nuisances de l'acheteur d'art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veiller au respect des plannings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 travail sous contrainte de temps imposee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téléphone fixe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téléphone mobile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poste informatique fixe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écran de visualisation</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books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dictionnaires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PUBLICS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prestataires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clients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humeur des clients générant une charge mentale particulière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 civile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25/09/2026 issue de la FMP Acheteur d'art,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1.10.7</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