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Soudeur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623e, 634b, 623a, 623d, 624b, 673c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Zlibellés à classer dans le TEP 23 11 2017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visible (400 à 780 nm)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monoxyde de carbone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dioxyde d'azote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ozone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argon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helium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acetylene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chrome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nickel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manganese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molybdene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cuivre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aluminium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zinc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beryllium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cadmium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thorium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dichlorure de carbonyle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équipement de protection individuelle à transporter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poste 2x8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poste 3x8, 5x8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amplitude horaire de travail continue superieure a 10 h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exposition aux UV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courant d'air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thermique froide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ambiance thermique en general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locaux sociaux inadaptés ou absents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défaut d'hygiène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insuffisance d'aeration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appauvri en oxygène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humide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confinement manque de ventilation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flamme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infra rouge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incendie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thermique chaude interieure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ultraviolet (100 a 400 nm)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arc electrique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explosion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objet incandescent chez le soudeur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ultraviolet a UVA (400 a 315 nm)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ultraviolet b UVB (315 a 280 nm)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champ électromagnétique (lors du soudage)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matériel électrique défectueux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fumee et gaz de soudage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de decomposition thermique de matiere plastique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d'acier ou fonte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d'acier inox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decomposition thermique de la peinture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de decomposition thermique d'huile et graisse industrielle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de decomposition thermique d'autre produit divers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02/05/2025 issue de la FMP Soudeur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