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Carrossier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634c, 624f, 634a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accroupie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agenouillée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choc répétitif du talon de la main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monoxyde de carbone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dioxyde d'azote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argon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helium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ozone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peroxyde de benzoyle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styrene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cyanate et isocyanate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derive halogene d'hydrocarbure aliphatique sature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artificiel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flamme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infra rouge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incendie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température chaude intérieure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ultraviolet a UVA (400 a 315 nm)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ultraviolet b UVB (315 a 280 nm)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champ électromagnétique (lors du soudage)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arc électrique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ultraviolet (100 a 400 nm)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explosion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incandescent chez le soudeur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et gaz de soudage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de decomposition thermique de matiere plastique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resine epoxydique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resine polyester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poussiere metallique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qualité de l'espace de travail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structurel du bâti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13/02/2026 issue de la FMP Carrossier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