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Musicien instrumentiste (instruments à vent)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240"/>
      </w:pPr>
      <w:r>
        <w:rPr>
          <w:rStyle w:val="Codepcstitre1"/>
          <w:rFonts w:eastAsia="Times New Roman"/>
          <w:color w:val="A01265"/>
        </w:rPr>
        <w:t>PCS-ESE 2003 :</w:t>
      </w:r>
      <w:r>
        <w:rPr>
          <w:rStyle w:val="Codepcstitre1"/>
          <w:rFonts w:eastAsia="Times New Roman"/>
          <w:color w:val="00B0F0"/>
        </w:rPr>
        <w:t> </w:t>
      </w:r>
      <w:r>
        <w:rPr>
          <w:rStyle w:val="Codepcstitre1"/>
          <w:rFonts w:eastAsia="Times New Roman"/>
        </w:rPr>
        <w:t>354b</w: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precarite du statut generant une charge mentale particuliere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employeurs multiples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relationnelle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variabilite, imprevisibilite de la charge de travail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isolement psychologique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confusion vie privée-vie professionnelle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coactivite (plusieurs activites concomitantes dans un meme lieu)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au travail en équipe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contraintes liées à l'alternance du travail géré seul ou en équipe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de nuit occasionnel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entrainant une charge mentale particuliere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entraînant une charge émotionnelle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au contact avec le public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à la gestion de l'employabilité, de la carrière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sousdimensionné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déplacement routier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de la conduite VL professionnelle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de la conduite de nuit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04/08/2026 issue de la FMP Musicien instrumentiste (instruments à vent)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