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Conducteur de machine à imprimer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et ranger son espace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Se laver les mains avant de porter les mains à la bouche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état des matériels et outils utilisés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machines dangereuses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machines dangereuses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machines dangereuses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matériels de levage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d'utilisation des matériels de levage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à l'humide les surfaces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l'aspiration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incendie de l'entreprise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Appliquer la conduite à tenir en cas de déversement accidentel de produit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transvaser les produits chimiques dans des récipients non adaptés, non étiquetés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Ranger la tenue de travail dans un vestiaire à double compartiment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l'équilibre vie professionnelle-vie personnelle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effets du travail de nuit ou en horaire décalé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Adapter l'heure du coucher à l'horaire de prise de poste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Garder un rythme de 3 repas équilibrés par jour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un temps de sommeil d'au moins 6 heures d'affilée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la tâche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lutte contre le bruit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mains et vos bras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un savon adapté (neutre ou surgras) pour se laver les mains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pieds et vos jambes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chaussures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la grossesse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Consulter votre médecin du travail, en cas de grossesse ou de projet de grossesse et d'un poste exposant à des agents chimiques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Consulter votre médecin du travail, en cas de grossesse ou de projet de grossesse et d'un travail de nuit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04/11/2026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