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Comédien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situations relationnelles ou organisationnelles difficiles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de comportements inadaptés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à l'équilibre vie professionnelle-vie personnelle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effets du travail de nuit ou en horaire décalé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Eviter les boissons stimulantes, excitantes, 4 à 5 heures avant d'aller se coucher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Garder un rythme de 3 repas équilibrés par jour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un temps de sommeil d'au moins 6 heures d'affilée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Prendre avis d'un professionnel de santé en cas de souffrance psychique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la grossesse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Consulter votre médecin du travail, en cas de grossesse ou de projet de grossesse et d'un poste exposant à des agents chimiques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Consulter votre médecin du travail, en cas de grossesse ou de projet de grossesse et d'un travail de nuit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16/12/2025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