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Thanatopracteur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l'entreprise en cas d'accident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des polluants divers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Aérer, ventiler les locaux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à l'entretien des systèmes d'aspiration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de la route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conduire sous l'effet de substances modifiant la vigilance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utiliser le téléphone en conduisant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Vérifier périodiquement l'état du véhicule et de ses équipements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sur le bionettoyage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règles/mesures de distanciation sociale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obligatoires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dispositifs d'élimination des déchets biologiques (DASRI)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Appliquer la conduite à tenir en cas de déversement accidentel de produit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Limiter le stockage au poste de travail à des petites quantités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Lire les étiquettes (pictogrammes et mentions de danger) des produits utilisés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transvaser les produits chimiques dans des récipients non adaptés, non étiquetés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brûlure chimique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projection oculaire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Privilégier le travail à deux, en l'absence d'outil d'aide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aides à la manutention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votre corps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équipements de protection individuelle (EPI) adaptés à l'utilisation des produits chimiques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un dispositif d'alarme pour travailleur isolé (DATI)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Prendre avis d'un professionnel de santé en cas de souffrance psychique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la grossesse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Consulter votre médecin du travail, en cas de grossesse ou de projet de grossesse et d'un poste exposant à des agents chimiques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éclairage inadapté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Adapter l'éclairage à la tâche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10/09/2026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