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Délégué médical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œuvre la procédure "Conduite à tenir face à des comportements inadaptés"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oeuvre la procédure "Conduite à tenir face à des personnes difficiles"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connaissance de la "conduite à tenir"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privée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des pauses régulières en cas de conduite prolongée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code de la route et notamment le port de la ceinture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07/10/2025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