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Convoyeur de fonds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connaissance de la "conduite à tenir" en cas d'agression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avis d'un professionnel de santé en cas de souffrance psychique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produits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Appliquer la procédure de l'entreprise en cas d'agression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procédures de l'entreprise en cas d'accident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effets du travail en horaire décalé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Adapter l'heure du coucher à l'horaire de prise de poste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Eviter les boissons stimulantes, excitantes, 4 à 5 heures avant d'aller se coucher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Garder un rythme de 3 repas équilibrés par jour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un temps de sommeil d'au moins 6 heures d'affilée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23/08/2025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