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Peintre en carrosserie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la soufflette pour nettoyer le poste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Stocker dans les zones dédiées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l'entretien des équipements de protection individuelle (EPI)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entretien des outils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équipements de protection individuelle (EPI)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l'entretien des systèmes d'aspiration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Alerter en cas de dysfonctionnement du système d'aspiration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Fermer les récipients et les containers après chaque utilisation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transvaser les produits chimiques dans des récipients non adaptés, non étiquetés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Réaliser un nettoyage approfondi du poste de travail en fin de journée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 empoussiérées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de solvants, diluants ou essence pour le lavage des mains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de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un savon adapté (neutre ou surgras) pour se laver les mains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voies respiratoires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Changer régulièrement les cartouches des appareils de protection respiratoire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systématiquement un masque de protection respiratoire adapté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Ranger la protection respiratoire dans un endroit non exposé aux gaz, vapeur, poussières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04/04/2026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