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Installateur sanitaire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l'entreprise en cas d'accident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protocoles de chargement et de déchargement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outils adaptés à l'activité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graves par brûlures thermiques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devant une brûlure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machines dangereuses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sécurité des machines dangereuses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d'utilisation des machines dangereuses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des polluants divers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Aérer, ventiler les locaux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de la route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conduire sous l'effet de substances modifiant la vigilance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utiliser le téléphone en conduisant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au bon équilibrage des charges et à leur arrimage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Vérifier périodiquement l'état du véhicule et de ses équipements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Laver, désinfecter et protéger toute plaie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Se laver les mains et/ou les désinfecter régulièrement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un aspirateur avec filtre antibactérien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Appliquer la conduite à tenir en cas de dispersion accidentelle de produit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Lire les étiquettes (pictogrammes et mentions de danger) des produits utilisés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brûlure chimique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projection oculaire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conditions d'utilisation prescrites (notice d'utilisation)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d'agression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comportements inadaptés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procédure de l'entreprise "travailleur isolé"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 dysfonctionnement organisationnel récurrent et/ou persistant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Alterner autant que possible les tâches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Organiser son poste de travail pour éviter les mouvements extrêmes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protecteurs de genoux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aides à la manutention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outils adaptés à la tâche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vibrations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Alterner les tâches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 l'électricité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sécurité des installations électriques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du bruit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protecteurs individuels contre le bruit (PICB) mis à disposition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votre corps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équipements de protection individuelle (EPI) adaptés à l'utilisation des produits chimiques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un dispositif d'alarme pour travailleur isolé (DATI)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13/08/2026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