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Concepteur rédacteur digital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